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附件11</w:t>
      </w:r>
    </w:p>
    <w:p>
      <w:pPr>
        <w:spacing w:after="156" w:afterLines="50" w:line="60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36"/>
        </w:rPr>
        <w:t>高等学校和中等职业学校新冠肺炎防控工作流程</w:t>
      </w:r>
    </w:p>
    <w:bookmarkEnd w:id="0"/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6"/>
        <w:gridCol w:w="4545"/>
        <w:gridCol w:w="4155"/>
        <w:gridCol w:w="35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4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返校前2周</w:t>
            </w:r>
          </w:p>
        </w:tc>
        <w:tc>
          <w:tcPr>
            <w:tcW w:w="415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返校当天</w:t>
            </w:r>
          </w:p>
        </w:tc>
        <w:tc>
          <w:tcPr>
            <w:tcW w:w="358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返校后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  <w:jc w:val="center"/>
        </w:trPr>
        <w:tc>
          <w:tcPr>
            <w:tcW w:w="175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黑体" w:eastAsia="仿宋_GB2312" w:cs="黑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</w:rPr>
              <w:t>学生</w:t>
            </w:r>
          </w:p>
        </w:tc>
        <w:tc>
          <w:tcPr>
            <w:tcW w:w="4545" w:type="dxa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1.居家活动，健康生活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2.不提前返校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3.理性认识疫情，做好科学防护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4.配合学校管理登记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5.配合在线教学安排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6.疫情重点地区学生提前报备到校时间</w:t>
            </w:r>
          </w:p>
        </w:tc>
        <w:tc>
          <w:tcPr>
            <w:tcW w:w="4155" w:type="dxa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1.入校前量体温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2.佩戴口罩、勤洗手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3.自驾车及陪同人员不得进校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4.报到后不离开校园</w:t>
            </w:r>
          </w:p>
        </w:tc>
        <w:tc>
          <w:tcPr>
            <w:tcW w:w="3585" w:type="dxa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1.配合学校健康监测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2.佩戴口罩，保持卫生行为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3.做好日常个人用品消毒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4.保持宿舍卫生整洁，注意通风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5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黑体" w:eastAsia="仿宋_GB2312" w:cs="黑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</w:rPr>
              <w:t>家长</w:t>
            </w:r>
          </w:p>
        </w:tc>
        <w:tc>
          <w:tcPr>
            <w:tcW w:w="4545" w:type="dxa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1.居家活动，通风消毒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2.外出防护，保持卫生行为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3.健康饮食，规律作息</w:t>
            </w:r>
          </w:p>
        </w:tc>
        <w:tc>
          <w:tcPr>
            <w:tcW w:w="4155" w:type="dxa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1.外出防护，注意卫生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2.安全出行，远离人群</w:t>
            </w:r>
          </w:p>
        </w:tc>
        <w:tc>
          <w:tcPr>
            <w:tcW w:w="3585" w:type="dxa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1.外出防护，保持卫生行为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2.信息共享，保持家校沟通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175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黑体" w:eastAsia="仿宋_GB2312" w:cs="黑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</w:rPr>
              <w:t>班主任</w:t>
            </w:r>
          </w:p>
          <w:p>
            <w:pPr>
              <w:spacing w:line="240" w:lineRule="exact"/>
              <w:jc w:val="center"/>
              <w:rPr>
                <w:rFonts w:hint="eastAsia" w:ascii="仿宋_GB2312" w:hAnsi="黑体" w:eastAsia="仿宋_GB2312" w:cs="黑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</w:rPr>
              <w:t>（辅导员）</w:t>
            </w:r>
          </w:p>
        </w:tc>
        <w:tc>
          <w:tcPr>
            <w:tcW w:w="4545" w:type="dxa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1.做好科学防护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2.督促学生做好14天健康记录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3.准备在线教学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4.线上远程办公</w:t>
            </w:r>
          </w:p>
        </w:tc>
        <w:tc>
          <w:tcPr>
            <w:tcW w:w="4155" w:type="dxa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1.做好健康教育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2.汇总健康信息</w:t>
            </w:r>
          </w:p>
        </w:tc>
        <w:tc>
          <w:tcPr>
            <w:tcW w:w="3585" w:type="dxa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1.加强健康教育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2.记录学生情况，逐日报告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3.协助追踪学生病情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5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黑体" w:eastAsia="仿宋_GB2312" w:cs="黑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</w:rPr>
              <w:t>校医</w:t>
            </w:r>
          </w:p>
        </w:tc>
        <w:tc>
          <w:tcPr>
            <w:tcW w:w="4545" w:type="dxa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 xml:space="preserve">1.疫情监测并每日上报 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2.隔离疑似，联系定点医院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3.培训疫情防控工作人员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4.加强个人防护</w:t>
            </w:r>
          </w:p>
        </w:tc>
        <w:tc>
          <w:tcPr>
            <w:tcW w:w="4155" w:type="dxa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1.监测返校人员体征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2.疫情信息上报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3.隔离疑似病例，联系定点医院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4.科普防控知识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5.加强个人防护</w:t>
            </w:r>
          </w:p>
        </w:tc>
        <w:tc>
          <w:tcPr>
            <w:tcW w:w="3585" w:type="dxa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1.师生健康监测，逐日上报疫情信息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2.隔离疑似病例，联系定点医院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3.健康宣教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4.加强个人防护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5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黑体" w:eastAsia="仿宋_GB2312" w:cs="黑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</w:rPr>
              <w:t>学校</w:t>
            </w:r>
          </w:p>
        </w:tc>
        <w:tc>
          <w:tcPr>
            <w:tcW w:w="4545" w:type="dxa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1.公布返校日期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2.普及防控知识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3.完善应急预案及防控制度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4.物资保障，全面消毒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5.强化校园安全管理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6.疫情监测，信息上报</w:t>
            </w:r>
          </w:p>
        </w:tc>
        <w:tc>
          <w:tcPr>
            <w:tcW w:w="4155" w:type="dxa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1.监测教职员工及学生健康信息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2.出入校园管控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3.监测后勤保障人员健康状况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4.环境、设备、桌椅消毒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5.安排错峰用餐并持续至疫情消除</w:t>
            </w:r>
          </w:p>
        </w:tc>
        <w:tc>
          <w:tcPr>
            <w:tcW w:w="3585" w:type="dxa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1.禁止不必要的集体活动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2.疫情监测，每日上报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3.通风消毒，放置洗手液、肥皂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4.加强进出校园管理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5.医疗与物资保障</w:t>
            </w:r>
          </w:p>
          <w:p>
            <w:pPr>
              <w:spacing w:line="240" w:lineRule="exact"/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楷体_GB2312" w:eastAsia="仿宋_GB2312" w:cs="楷体_GB2312"/>
                <w:color w:val="000000"/>
                <w:kern w:val="0"/>
                <w:sz w:val="20"/>
                <w:szCs w:val="20"/>
              </w:rPr>
              <w:t>6.加强食品安全管理</w:t>
            </w:r>
          </w:p>
        </w:tc>
      </w:tr>
    </w:tbl>
    <w:p>
      <w:pPr>
        <w:spacing w:line="60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6838" w:h="11906" w:orient="landscape"/>
      <w:pgMar w:top="1588" w:right="2098" w:bottom="1588" w:left="1871" w:header="851" w:footer="1191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hint="eastAsia" w:ascii="宋体" w:hAnsi="宋体"/>
        <w:color w:val="FFFFFF"/>
        <w:sz w:val="28"/>
        <w:szCs w:val="28"/>
        <w:lang w:eastAsia="zh-CN"/>
      </w:rPr>
    </w:pPr>
    <w:r>
      <w:rPr>
        <w:rFonts w:hint="eastAsia" w:ascii="宋体" w:hAnsi="宋体"/>
        <w:color w:val="FFFFFF"/>
        <w:sz w:val="28"/>
        <w:szCs w:val="28"/>
        <w:lang w:eastAsia="zh-CN"/>
      </w:rPr>
      <w:t>—</w:t>
    </w:r>
    <w:r>
      <w:rPr>
        <w:rFonts w:hint="eastAsia" w:ascii="宋体" w:hAnsi="宋体"/>
        <w:sz w:val="28"/>
        <w:szCs w:val="28"/>
        <w:lang w:eastAsia="zh-CN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53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  <w:lang w:eastAsia="zh-CN"/>
      </w:rPr>
      <w:t xml:space="preserve"> —</w:t>
    </w:r>
    <w:r>
      <w:rPr>
        <w:rFonts w:hint="eastAsia" w:ascii="宋体" w:hAnsi="宋体"/>
        <w:color w:val="FFFFFF"/>
        <w:sz w:val="28"/>
        <w:szCs w:val="28"/>
        <w:lang w:eastAsia="zh-CN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ordWrap w:val="0"/>
      <w:jc w:val="right"/>
      <w:rPr>
        <w:rFonts w:hint="eastAsia" w:ascii="宋体" w:hAnsi="宋体"/>
        <w:color w:val="FFFFFF"/>
        <w:sz w:val="28"/>
        <w:szCs w:val="28"/>
        <w:lang w:eastAsia="zh-CN"/>
      </w:rPr>
    </w:pPr>
    <w:r>
      <w:rPr>
        <w:rFonts w:hint="eastAsia" w:ascii="宋体" w:hAnsi="宋体"/>
        <w:color w:val="FFFFFF"/>
        <w:sz w:val="28"/>
        <w:szCs w:val="28"/>
        <w:lang w:eastAsia="zh-CN"/>
      </w:rPr>
      <w:t xml:space="preserve"> —</w:t>
    </w:r>
    <w:r>
      <w:rPr>
        <w:rFonts w:hint="eastAsia" w:ascii="宋体" w:hAnsi="宋体"/>
        <w:sz w:val="28"/>
        <w:szCs w:val="28"/>
        <w:lang w:eastAsia="zh-CN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52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  <w:lang w:eastAsia="zh-CN"/>
      </w:rPr>
      <w:t xml:space="preserve"> —</w:t>
    </w:r>
    <w:r>
      <w:rPr>
        <w:rFonts w:hint="eastAsia" w:ascii="宋体" w:hAnsi="宋体"/>
        <w:color w:val="FFFFFF"/>
        <w:sz w:val="28"/>
        <w:szCs w:val="28"/>
        <w:lang w:eastAsia="zh-CN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 w:ascii="宋体" w:hAnsi="宋体"/>
        <w:color w:val="FFFFFF"/>
        <w:sz w:val="28"/>
        <w:szCs w:val="28"/>
        <w:lang w:eastAsia="zh-CN"/>
      </w:rPr>
    </w:pPr>
    <w:r>
      <w:rPr>
        <w:rFonts w:hint="eastAsia" w:ascii="宋体" w:hAnsi="宋体"/>
        <w:color w:val="FFFFFF"/>
        <w:sz w:val="28"/>
        <w:szCs w:val="28"/>
        <w:lang w:eastAsia="zh-CN"/>
      </w:rPr>
      <w:t>—</w:t>
    </w:r>
    <w:r>
      <w:rPr>
        <w:rFonts w:hint="eastAsia" w:ascii="宋体" w:hAnsi="宋体"/>
        <w:sz w:val="28"/>
        <w:szCs w:val="28"/>
        <w:lang w:eastAsia="zh-CN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51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  <w:lang w:eastAsia="zh-CN"/>
      </w:rPr>
      <w:t xml:space="preserve"> —</w:t>
    </w:r>
    <w:r>
      <w:rPr>
        <w:rFonts w:hint="eastAsia" w:ascii="宋体" w:hAnsi="宋体"/>
        <w:color w:val="FFFFFF"/>
        <w:sz w:val="28"/>
        <w:szCs w:val="28"/>
        <w:lang w:eastAsia="zh-CN"/>
      </w:rPr>
      <w:t>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322F95"/>
    <w:rsid w:val="1A322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2020-03-19T10:49:00Z</dcterms:created>
  <dc:creator>杨飞霞</dc:creator>
  <cp:lastModifiedBy>杨飞霞</cp:lastModifiedBy>
  <dcterms:modified xsi:type="dcterms:W3CDTF">2020-03-19T10:50:04Z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